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5DFC955B" wp14:editId="3DFAB414">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A1F" w:rsidRDefault="00EB5A1F">
                            <w:r>
                              <w:rPr>
                                <w:noProof/>
                                <w:lang w:eastAsia="en-GB"/>
                              </w:rPr>
                              <w:drawing>
                                <wp:inline distT="0" distB="0" distL="0" distR="0" wp14:anchorId="79AB87A4" wp14:editId="447FA526">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B5A1F" w:rsidRDefault="00EB5A1F">
                      <w:r>
                        <w:rPr>
                          <w:noProof/>
                          <w:lang w:eastAsia="en-GB"/>
                        </w:rPr>
                        <w:drawing>
                          <wp:inline distT="0" distB="0" distL="0" distR="0" wp14:anchorId="79AB87A4" wp14:editId="447FA526">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175E33">
        <w:rPr>
          <w:rFonts w:cs="Arial"/>
          <w:b/>
          <w:bCs/>
        </w:rPr>
        <w:t xml:space="preserve">11 </w:t>
      </w:r>
      <w:r w:rsidR="004B19B0">
        <w:rPr>
          <w:rFonts w:cs="Arial"/>
          <w:b/>
          <w:bCs/>
        </w:rPr>
        <w:t>June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134814">
        <w:rPr>
          <w:rFonts w:cs="Arial"/>
          <w:b/>
          <w:bCs/>
        </w:rPr>
        <w:t>Housing and Property Services</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DE3116">
        <w:rPr>
          <w:rFonts w:cs="Arial"/>
          <w:b/>
          <w:bCs/>
        </w:rPr>
        <w:t xml:space="preserve"> Housing </w:t>
      </w:r>
      <w:r w:rsidR="00134814">
        <w:rPr>
          <w:rFonts w:cs="Arial"/>
          <w:b/>
          <w:bCs/>
        </w:rPr>
        <w:t xml:space="preserve">Asset </w:t>
      </w:r>
      <w:r w:rsidR="000716BA">
        <w:rPr>
          <w:rFonts w:cs="Arial"/>
          <w:b/>
          <w:bCs/>
        </w:rPr>
        <w:t xml:space="preserve">Management </w:t>
      </w:r>
      <w:r w:rsidR="00134814">
        <w:rPr>
          <w:rFonts w:cs="Arial"/>
          <w:b/>
          <w:bCs/>
        </w:rPr>
        <w:t>Strategy</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35186B"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p>
    <w:p w:rsidR="0035186B" w:rsidRDefault="0035186B">
      <w:pPr>
        <w:pBdr>
          <w:top w:val="single" w:sz="4" w:space="1" w:color="auto"/>
          <w:left w:val="single" w:sz="4" w:space="4" w:color="auto"/>
          <w:bottom w:val="single" w:sz="4" w:space="1" w:color="auto"/>
          <w:right w:val="single" w:sz="4" w:space="4" w:color="auto"/>
        </w:pBdr>
        <w:rPr>
          <w:rFonts w:cs="Arial"/>
        </w:rPr>
      </w:pPr>
    </w:p>
    <w:p w:rsidR="00F4367A" w:rsidRDefault="00134814">
      <w:pPr>
        <w:pBdr>
          <w:top w:val="single" w:sz="4" w:space="1" w:color="auto"/>
          <w:left w:val="single" w:sz="4" w:space="4" w:color="auto"/>
          <w:bottom w:val="single" w:sz="4" w:space="1" w:color="auto"/>
          <w:right w:val="single" w:sz="4" w:space="4" w:color="auto"/>
        </w:pBdr>
        <w:rPr>
          <w:rFonts w:cs="Arial"/>
        </w:rPr>
      </w:pPr>
      <w:r>
        <w:rPr>
          <w:rFonts w:cs="Arial"/>
        </w:rPr>
        <w:t xml:space="preserve">To seek approval for the adoption of the Asset </w:t>
      </w:r>
      <w:r w:rsidR="00DD6C7E">
        <w:rPr>
          <w:rFonts w:cs="Arial"/>
        </w:rPr>
        <w:t xml:space="preserve">Management </w:t>
      </w:r>
      <w:r w:rsidR="000716BA">
        <w:rPr>
          <w:rFonts w:cs="Arial"/>
        </w:rPr>
        <w:t>Strategy</w:t>
      </w:r>
      <w:r w:rsidR="00DD6C7E">
        <w:rPr>
          <w:rFonts w:cs="Arial"/>
        </w:rPr>
        <w:t xml:space="preserve"> and associated action plan for Oxford City Council</w:t>
      </w:r>
      <w:r w:rsidR="00DE3116">
        <w:rPr>
          <w:rFonts w:cs="Arial"/>
        </w:rPr>
        <w:t>’s</w:t>
      </w:r>
      <w:r w:rsidR="00DD6C7E">
        <w:rPr>
          <w:rFonts w:cs="Arial"/>
        </w:rPr>
        <w:t xml:space="preserve"> </w:t>
      </w:r>
      <w:r w:rsidR="000716BA">
        <w:rPr>
          <w:rFonts w:cs="Arial"/>
        </w:rPr>
        <w:t>housing stock.</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134814">
        <w:rPr>
          <w:b w:val="0"/>
          <w:bCs w:val="0"/>
          <w:i/>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134814"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DE3116">
        <w:rPr>
          <w:rFonts w:cs="Arial"/>
          <w:bCs/>
        </w:rPr>
        <w:t xml:space="preserve">Councillor </w:t>
      </w:r>
      <w:proofErr w:type="spellStart"/>
      <w:r w:rsidR="00DE3116">
        <w:rPr>
          <w:rFonts w:cs="Arial"/>
          <w:bCs/>
        </w:rPr>
        <w:t>Seamons</w:t>
      </w:r>
      <w:proofErr w:type="spellEnd"/>
      <w:r w:rsidR="00B72C19">
        <w:rPr>
          <w:rFonts w:cs="Arial"/>
          <w:bCs/>
        </w:rPr>
        <w:t xml:space="preserve">, </w:t>
      </w:r>
      <w:r w:rsidR="00DE3116">
        <w:rPr>
          <w:rFonts w:cs="Arial"/>
          <w:bCs/>
        </w:rPr>
        <w:t xml:space="preserve">Executive Member for Housing </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951A95" w:rsidRPr="00951A95">
        <w:rPr>
          <w:rFonts w:cs="Arial"/>
          <w:bCs/>
        </w:rPr>
        <w:t>Corporate Plan Objective – Meeting Housing Needs</w:t>
      </w:r>
    </w:p>
    <w:p w:rsidR="00F4367A" w:rsidRDefault="00F4367A">
      <w:pPr>
        <w:pStyle w:val="Heading1"/>
        <w:pBdr>
          <w:top w:val="single" w:sz="4" w:space="1" w:color="auto"/>
          <w:left w:val="single" w:sz="4" w:space="4" w:color="auto"/>
          <w:bottom w:val="single" w:sz="4" w:space="1" w:color="auto"/>
          <w:right w:val="single" w:sz="4" w:space="4" w:color="auto"/>
        </w:pBdr>
      </w:pPr>
    </w:p>
    <w:p w:rsidR="00D62D1E" w:rsidRPr="00424453" w:rsidRDefault="00F4367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B72C19" w:rsidRPr="00424453">
        <w:rPr>
          <w:rFonts w:cs="Arial"/>
        </w:rPr>
        <w:t>That the City Executive Board</w:t>
      </w:r>
      <w:r w:rsidRPr="00424453">
        <w:rPr>
          <w:rFonts w:cs="Arial"/>
        </w:rPr>
        <w:tab/>
      </w:r>
    </w:p>
    <w:p w:rsidR="00D62D1E" w:rsidRDefault="00B02823">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 </w:t>
      </w:r>
    </w:p>
    <w:p w:rsidR="00B02823" w:rsidRDefault="00DE3116" w:rsidP="00175E33">
      <w:pPr>
        <w:pBdr>
          <w:top w:val="single" w:sz="4" w:space="1" w:color="auto"/>
          <w:left w:val="single" w:sz="4" w:space="4" w:color="auto"/>
          <w:bottom w:val="single" w:sz="4" w:space="1" w:color="auto"/>
          <w:right w:val="single" w:sz="4" w:space="4" w:color="auto"/>
        </w:pBdr>
        <w:tabs>
          <w:tab w:val="left" w:pos="284"/>
        </w:tabs>
        <w:rPr>
          <w:rFonts w:cs="Arial"/>
        </w:rPr>
      </w:pPr>
      <w:r w:rsidRPr="00DE3116">
        <w:rPr>
          <w:rFonts w:cs="Arial"/>
        </w:rPr>
        <w:t>1.</w:t>
      </w:r>
      <w:r>
        <w:rPr>
          <w:rFonts w:cs="Arial"/>
        </w:rPr>
        <w:t xml:space="preserve"> </w:t>
      </w:r>
      <w:proofErr w:type="gramStart"/>
      <w:r w:rsidR="00B72C19">
        <w:rPr>
          <w:rFonts w:cs="Arial"/>
        </w:rPr>
        <w:t>R</w:t>
      </w:r>
      <w:r w:rsidR="00B02823">
        <w:rPr>
          <w:rFonts w:cs="Arial"/>
        </w:rPr>
        <w:t>ecommend</w:t>
      </w:r>
      <w:r w:rsidR="00B72C19">
        <w:rPr>
          <w:rFonts w:cs="Arial"/>
        </w:rPr>
        <w:t>s</w:t>
      </w:r>
      <w:proofErr w:type="gramEnd"/>
      <w:r w:rsidR="00B02823">
        <w:rPr>
          <w:rFonts w:cs="Arial"/>
        </w:rPr>
        <w:t xml:space="preserve"> to Council the adoption of the </w:t>
      </w:r>
      <w:r w:rsidR="004B19B0">
        <w:rPr>
          <w:rFonts w:cs="Arial"/>
        </w:rPr>
        <w:t>Asset Management Strategy along with the Oxford</w:t>
      </w:r>
      <w:r w:rsidR="001648B8">
        <w:rPr>
          <w:rFonts w:cs="Arial"/>
        </w:rPr>
        <w:t xml:space="preserve"> Standard as</w:t>
      </w:r>
      <w:r w:rsidR="00B02823">
        <w:rPr>
          <w:rFonts w:cs="Arial"/>
        </w:rPr>
        <w:t xml:space="preserve"> part of the Council’s policy framework</w:t>
      </w:r>
      <w:r w:rsidR="00B72C19">
        <w:rPr>
          <w:rFonts w:cs="Arial"/>
        </w:rPr>
        <w:t>;</w:t>
      </w:r>
    </w:p>
    <w:p w:rsidR="00B72C19" w:rsidRDefault="00B72C19" w:rsidP="00175E33">
      <w:pPr>
        <w:pBdr>
          <w:top w:val="single" w:sz="4" w:space="1" w:color="auto"/>
          <w:left w:val="single" w:sz="4" w:space="4" w:color="auto"/>
          <w:bottom w:val="single" w:sz="4" w:space="1" w:color="auto"/>
          <w:right w:val="single" w:sz="4" w:space="4" w:color="auto"/>
        </w:pBdr>
        <w:tabs>
          <w:tab w:val="left" w:pos="284"/>
        </w:tabs>
        <w:rPr>
          <w:rFonts w:cs="Arial"/>
        </w:rPr>
      </w:pPr>
    </w:p>
    <w:p w:rsidR="00B02823" w:rsidRDefault="00B02823" w:rsidP="00175E33">
      <w:pPr>
        <w:pBdr>
          <w:top w:val="single" w:sz="4" w:space="1" w:color="auto"/>
          <w:left w:val="single" w:sz="4" w:space="4" w:color="auto"/>
          <w:bottom w:val="single" w:sz="4" w:space="1" w:color="auto"/>
          <w:right w:val="single" w:sz="4" w:space="4" w:color="auto"/>
        </w:pBdr>
        <w:tabs>
          <w:tab w:val="left" w:pos="284"/>
        </w:tabs>
        <w:rPr>
          <w:rFonts w:cs="Arial"/>
        </w:rPr>
      </w:pPr>
      <w:r>
        <w:rPr>
          <w:rFonts w:cs="Arial"/>
        </w:rPr>
        <w:t xml:space="preserve">2. </w:t>
      </w:r>
      <w:r w:rsidR="00B72C19">
        <w:rPr>
          <w:rFonts w:cs="Arial"/>
        </w:rPr>
        <w:t>E</w:t>
      </w:r>
      <w:r>
        <w:rPr>
          <w:rFonts w:cs="Arial"/>
        </w:rPr>
        <w:t>ndorse</w:t>
      </w:r>
      <w:r w:rsidR="00B72C19">
        <w:rPr>
          <w:rFonts w:cs="Arial"/>
        </w:rPr>
        <w:t>s</w:t>
      </w:r>
      <w:r>
        <w:rPr>
          <w:rFonts w:cs="Arial"/>
        </w:rPr>
        <w:t xml:space="preserve"> the action plan</w:t>
      </w:r>
      <w:r w:rsidR="00B72C19">
        <w:rPr>
          <w:rFonts w:cs="Arial"/>
        </w:rPr>
        <w:t>;</w:t>
      </w:r>
      <w:r>
        <w:rPr>
          <w:rFonts w:cs="Arial"/>
        </w:rPr>
        <w:t xml:space="preserve"> </w:t>
      </w:r>
    </w:p>
    <w:p w:rsidR="00175E33" w:rsidRDefault="00175E33" w:rsidP="00DE3116">
      <w:pPr>
        <w:pBdr>
          <w:top w:val="single" w:sz="4" w:space="1" w:color="auto"/>
          <w:left w:val="single" w:sz="4" w:space="4" w:color="auto"/>
          <w:bottom w:val="single" w:sz="4" w:space="1" w:color="auto"/>
          <w:right w:val="single" w:sz="4" w:space="4" w:color="auto"/>
        </w:pBdr>
        <w:tabs>
          <w:tab w:val="left" w:pos="3048"/>
        </w:tabs>
        <w:rPr>
          <w:rFonts w:cs="Arial"/>
        </w:rPr>
      </w:pPr>
    </w:p>
    <w:p w:rsidR="001648B8" w:rsidRDefault="001648B8" w:rsidP="00175E33">
      <w:pPr>
        <w:pBdr>
          <w:top w:val="single" w:sz="4" w:space="1" w:color="auto"/>
          <w:left w:val="single" w:sz="4" w:space="4" w:color="auto"/>
          <w:bottom w:val="single" w:sz="4" w:space="1" w:color="auto"/>
          <w:right w:val="single" w:sz="4" w:space="4" w:color="auto"/>
        </w:pBdr>
        <w:tabs>
          <w:tab w:val="left" w:pos="284"/>
        </w:tabs>
        <w:rPr>
          <w:rFonts w:cs="Arial"/>
        </w:rPr>
      </w:pPr>
      <w:r>
        <w:rPr>
          <w:rFonts w:cs="Arial"/>
        </w:rPr>
        <w:t>3.</w:t>
      </w:r>
      <w:r w:rsidR="004B19B0">
        <w:rPr>
          <w:rFonts w:cs="Arial"/>
        </w:rPr>
        <w:t xml:space="preserve"> </w:t>
      </w:r>
      <w:r w:rsidR="00B72C19">
        <w:rPr>
          <w:rFonts w:cs="Arial"/>
        </w:rPr>
        <w:t>N</w:t>
      </w:r>
      <w:r w:rsidR="004B19B0">
        <w:rPr>
          <w:rFonts w:cs="Arial"/>
        </w:rPr>
        <w:t>ote</w:t>
      </w:r>
      <w:r w:rsidR="00B72C19">
        <w:rPr>
          <w:rFonts w:cs="Arial"/>
        </w:rPr>
        <w:t>s</w:t>
      </w:r>
      <w:r w:rsidR="004B19B0">
        <w:rPr>
          <w:rFonts w:cs="Arial"/>
        </w:rPr>
        <w:t xml:space="preserve"> that an Energy Strategy will be presented to </w:t>
      </w:r>
      <w:r w:rsidR="00B72C19">
        <w:rPr>
          <w:rFonts w:cs="Arial"/>
        </w:rPr>
        <w:t xml:space="preserve">the Board </w:t>
      </w:r>
      <w:r w:rsidR="00175E33">
        <w:rPr>
          <w:rFonts w:cs="Arial"/>
        </w:rPr>
        <w:t>later</w:t>
      </w:r>
    </w:p>
    <w:p w:rsidR="004B19B0" w:rsidRPr="00DE3116" w:rsidRDefault="001648B8" w:rsidP="00175E33">
      <w:pPr>
        <w:pBdr>
          <w:top w:val="single" w:sz="4" w:space="1" w:color="auto"/>
          <w:left w:val="single" w:sz="4" w:space="4" w:color="auto"/>
          <w:bottom w:val="single" w:sz="4" w:space="1" w:color="auto"/>
          <w:right w:val="single" w:sz="4" w:space="4" w:color="auto"/>
        </w:pBdr>
        <w:tabs>
          <w:tab w:val="left" w:pos="284"/>
        </w:tabs>
        <w:rPr>
          <w:rFonts w:cs="Arial"/>
        </w:rPr>
      </w:pPr>
      <w:r>
        <w:rPr>
          <w:rFonts w:cs="Arial"/>
        </w:rPr>
        <w:t xml:space="preserve">    </w:t>
      </w:r>
      <w:proofErr w:type="gramStart"/>
      <w:r w:rsidR="00B02823">
        <w:rPr>
          <w:rFonts w:cs="Arial"/>
        </w:rPr>
        <w:t>this</w:t>
      </w:r>
      <w:proofErr w:type="gramEnd"/>
      <w:r w:rsidR="00B02823">
        <w:rPr>
          <w:rFonts w:cs="Arial"/>
        </w:rPr>
        <w:t xml:space="preserve"> </w:t>
      </w:r>
      <w:r w:rsidR="00175E33">
        <w:rPr>
          <w:rFonts w:cs="Arial"/>
        </w:rPr>
        <w:t>year</w:t>
      </w:r>
      <w:r w:rsidR="00B72C19">
        <w:rPr>
          <w:rFonts w:cs="Arial"/>
        </w:rPr>
        <w:t>.</w:t>
      </w:r>
    </w:p>
    <w:p w:rsidR="00DD6C7E" w:rsidRDefault="00DD6C7E">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134814" w:rsidRDefault="00134814">
      <w:pPr>
        <w:rPr>
          <w:rFonts w:cs="Arial"/>
        </w:rPr>
      </w:pPr>
    </w:p>
    <w:p w:rsidR="004B19B0" w:rsidRDefault="007B6E54">
      <w:pPr>
        <w:rPr>
          <w:rFonts w:cs="Arial"/>
        </w:rPr>
      </w:pPr>
      <w:r>
        <w:rPr>
          <w:rFonts w:cs="Arial"/>
        </w:rPr>
        <w:t xml:space="preserve">Appendix </w:t>
      </w:r>
      <w:r w:rsidR="00134814">
        <w:rPr>
          <w:rFonts w:cs="Arial"/>
        </w:rPr>
        <w:t>1 Asset Management Strategy</w:t>
      </w:r>
    </w:p>
    <w:p w:rsidR="00713675" w:rsidRDefault="00134814">
      <w:pPr>
        <w:rPr>
          <w:rFonts w:cs="Arial"/>
        </w:rPr>
      </w:pPr>
      <w:r>
        <w:rPr>
          <w:rFonts w:cs="Arial"/>
        </w:rPr>
        <w:t>Appendix 2</w:t>
      </w:r>
      <w:r w:rsidR="007B6E54">
        <w:rPr>
          <w:rFonts w:cs="Arial"/>
        </w:rPr>
        <w:t xml:space="preserve"> Risk Register</w:t>
      </w:r>
    </w:p>
    <w:p w:rsidR="007B6E54" w:rsidRDefault="00134814">
      <w:pPr>
        <w:rPr>
          <w:rFonts w:cs="Arial"/>
        </w:rPr>
      </w:pPr>
      <w:r>
        <w:rPr>
          <w:rFonts w:cs="Arial"/>
        </w:rPr>
        <w:t xml:space="preserve">Appendix 3 </w:t>
      </w:r>
      <w:r w:rsidR="007B6E54">
        <w:rPr>
          <w:rFonts w:cs="Arial"/>
        </w:rPr>
        <w:t>Equalities Impact Assessment</w:t>
      </w:r>
    </w:p>
    <w:p w:rsidR="004B19B0" w:rsidRDefault="004B19B0">
      <w:pPr>
        <w:rPr>
          <w:rFonts w:cs="Arial"/>
        </w:rPr>
      </w:pPr>
      <w:r>
        <w:rPr>
          <w:rFonts w:cs="Arial"/>
        </w:rPr>
        <w:t>Appendix 4 Oxford Standard</w:t>
      </w:r>
    </w:p>
    <w:p w:rsidR="00175E33" w:rsidRDefault="00175E33">
      <w:pPr>
        <w:rPr>
          <w:rFonts w:cs="Arial"/>
        </w:rPr>
      </w:pPr>
      <w:r>
        <w:rPr>
          <w:rFonts w:cs="Arial"/>
        </w:rPr>
        <w:t>Appendix 5 Summary of formal consultation results</w:t>
      </w:r>
    </w:p>
    <w:p w:rsidR="00B72C19" w:rsidRDefault="00B72C19">
      <w:pPr>
        <w:rPr>
          <w:rFonts w:cs="Arial"/>
          <w:b/>
        </w:rPr>
      </w:pPr>
      <w:r>
        <w:rPr>
          <w:rFonts w:cs="Arial"/>
          <w:b/>
        </w:rPr>
        <w:br w:type="page"/>
      </w:r>
    </w:p>
    <w:p w:rsidR="007B6E54" w:rsidRDefault="007B6E54" w:rsidP="00434F2E">
      <w:pPr>
        <w:rPr>
          <w:rFonts w:cs="Arial"/>
          <w:b/>
        </w:rPr>
      </w:pPr>
      <w:r>
        <w:rPr>
          <w:rFonts w:cs="Arial"/>
          <w:b/>
        </w:rPr>
        <w:lastRenderedPageBreak/>
        <w:t>Background</w:t>
      </w:r>
    </w:p>
    <w:p w:rsidR="007B6E54" w:rsidRDefault="007B6E54">
      <w:pPr>
        <w:rPr>
          <w:rFonts w:cs="Arial"/>
          <w:b/>
        </w:rPr>
      </w:pPr>
    </w:p>
    <w:p w:rsidR="0045153D" w:rsidRPr="00ED69E5" w:rsidRDefault="00332362" w:rsidP="00424453">
      <w:pPr>
        <w:pStyle w:val="ListParagraph"/>
        <w:numPr>
          <w:ilvl w:val="0"/>
          <w:numId w:val="2"/>
        </w:numPr>
        <w:ind w:left="360"/>
        <w:outlineLvl w:val="0"/>
        <w:rPr>
          <w:rFonts w:cs="Arial"/>
          <w:lang w:eastAsia="en-GB"/>
        </w:rPr>
      </w:pPr>
      <w:r>
        <w:rPr>
          <w:rFonts w:cs="Arial"/>
          <w:lang w:eastAsia="en-GB"/>
        </w:rPr>
        <w:t xml:space="preserve">The City Council’s Asset Management Strategy sets out the </w:t>
      </w:r>
      <w:r w:rsidR="0045153D" w:rsidRPr="00ED69E5">
        <w:rPr>
          <w:rFonts w:cs="Arial"/>
          <w:lang w:eastAsia="en-GB"/>
        </w:rPr>
        <w:t xml:space="preserve"> practices and principles </w:t>
      </w:r>
      <w:r>
        <w:rPr>
          <w:rFonts w:cs="Arial"/>
          <w:lang w:eastAsia="en-GB"/>
        </w:rPr>
        <w:t xml:space="preserve">that </w:t>
      </w:r>
      <w:r w:rsidR="00DE3116">
        <w:rPr>
          <w:rFonts w:cs="Arial"/>
          <w:lang w:eastAsia="en-GB"/>
        </w:rPr>
        <w:t xml:space="preserve">the City Council </w:t>
      </w:r>
      <w:r w:rsidR="0045153D" w:rsidRPr="00ED69E5">
        <w:rPr>
          <w:rFonts w:cs="Arial"/>
          <w:lang w:eastAsia="en-GB"/>
        </w:rPr>
        <w:t xml:space="preserve">will </w:t>
      </w:r>
      <w:r>
        <w:rPr>
          <w:rFonts w:cs="Arial"/>
          <w:lang w:eastAsia="en-GB"/>
        </w:rPr>
        <w:t>apply</w:t>
      </w:r>
      <w:r w:rsidR="00DE3116">
        <w:rPr>
          <w:rFonts w:cs="Arial"/>
          <w:lang w:eastAsia="en-GB"/>
        </w:rPr>
        <w:t xml:space="preserve"> to </w:t>
      </w:r>
      <w:r w:rsidR="0045153D" w:rsidRPr="00ED69E5">
        <w:rPr>
          <w:rFonts w:cs="Arial"/>
          <w:lang w:eastAsia="en-GB"/>
        </w:rPr>
        <w:t xml:space="preserve">ensure that its housing stock meets current and future needs, including planning for investment in repair and improvements, and reviewing and changing the portfolio to match local circumstances.  </w:t>
      </w:r>
    </w:p>
    <w:p w:rsidR="0045153D" w:rsidRPr="00ED69E5" w:rsidRDefault="0045153D">
      <w:pPr>
        <w:outlineLvl w:val="0"/>
        <w:rPr>
          <w:rFonts w:cs="Arial"/>
          <w:lang w:eastAsia="en-GB"/>
        </w:rPr>
      </w:pPr>
    </w:p>
    <w:p w:rsidR="0045153D" w:rsidRPr="00434F2E" w:rsidRDefault="00332362" w:rsidP="00424453">
      <w:pPr>
        <w:pStyle w:val="ListParagraph"/>
        <w:numPr>
          <w:ilvl w:val="0"/>
          <w:numId w:val="2"/>
        </w:numPr>
        <w:ind w:left="360"/>
        <w:rPr>
          <w:rFonts w:cs="Arial"/>
          <w:lang w:eastAsia="en-GB"/>
        </w:rPr>
      </w:pPr>
      <w:r>
        <w:rPr>
          <w:rFonts w:cs="Arial"/>
          <w:lang w:eastAsia="en-GB"/>
        </w:rPr>
        <w:t xml:space="preserve"> The strategy also</w:t>
      </w:r>
      <w:r w:rsidR="0045153D" w:rsidRPr="00434F2E">
        <w:rPr>
          <w:rFonts w:cs="Arial"/>
          <w:lang w:eastAsia="en-GB"/>
        </w:rPr>
        <w:t xml:space="preserve"> take</w:t>
      </w:r>
      <w:r>
        <w:rPr>
          <w:rFonts w:cs="Arial"/>
          <w:lang w:eastAsia="en-GB"/>
        </w:rPr>
        <w:t>s</w:t>
      </w:r>
      <w:r w:rsidR="0045153D" w:rsidRPr="00434F2E">
        <w:rPr>
          <w:rFonts w:cs="Arial"/>
          <w:lang w:eastAsia="en-GB"/>
        </w:rPr>
        <w:t xml:space="preserve"> a longer view, making sure that there are systems in place that can guide</w:t>
      </w:r>
      <w:r w:rsidR="00434F2E" w:rsidRPr="00434F2E">
        <w:rPr>
          <w:rFonts w:cs="Arial"/>
          <w:lang w:eastAsia="en-GB"/>
        </w:rPr>
        <w:t xml:space="preserve"> more major</w:t>
      </w:r>
      <w:r w:rsidR="0045153D" w:rsidRPr="00434F2E">
        <w:rPr>
          <w:rFonts w:cs="Arial"/>
          <w:lang w:eastAsia="en-GB"/>
        </w:rPr>
        <w:t xml:space="preserve"> investment decisions</w:t>
      </w:r>
      <w:r w:rsidR="00434F2E">
        <w:rPr>
          <w:rFonts w:cs="Arial"/>
          <w:lang w:eastAsia="en-GB"/>
        </w:rPr>
        <w:t xml:space="preserve"> to optimise the use of the stock in meeting future housing needs.</w:t>
      </w:r>
      <w:r w:rsidR="0045153D" w:rsidRPr="00434F2E">
        <w:rPr>
          <w:rFonts w:cs="Arial"/>
          <w:lang w:eastAsia="en-GB"/>
        </w:rPr>
        <w:t xml:space="preserve">  </w:t>
      </w:r>
    </w:p>
    <w:p w:rsidR="0045153D" w:rsidRPr="00ED69E5" w:rsidRDefault="0045153D">
      <w:pPr>
        <w:rPr>
          <w:rFonts w:cs="Arial"/>
          <w:lang w:eastAsia="en-GB"/>
        </w:rPr>
      </w:pPr>
    </w:p>
    <w:p w:rsidR="00332362" w:rsidRDefault="00ED567E" w:rsidP="00424453">
      <w:pPr>
        <w:pStyle w:val="ListParagraph"/>
        <w:numPr>
          <w:ilvl w:val="0"/>
          <w:numId w:val="2"/>
        </w:numPr>
        <w:ind w:left="360"/>
        <w:rPr>
          <w:rFonts w:cs="Arial"/>
          <w:lang w:eastAsia="en-GB"/>
        </w:rPr>
      </w:pPr>
      <w:r>
        <w:rPr>
          <w:rFonts w:cs="Arial"/>
          <w:lang w:eastAsia="en-GB"/>
        </w:rPr>
        <w:t xml:space="preserve">The strategy and the investment programmes that underpin </w:t>
      </w:r>
      <w:r w:rsidR="004B19B0">
        <w:rPr>
          <w:rFonts w:cs="Arial"/>
          <w:lang w:eastAsia="en-GB"/>
        </w:rPr>
        <w:t>it also</w:t>
      </w:r>
      <w:r w:rsidR="00B95051">
        <w:rPr>
          <w:rFonts w:cs="Arial"/>
          <w:lang w:eastAsia="en-GB"/>
        </w:rPr>
        <w:t xml:space="preserve"> </w:t>
      </w:r>
      <w:r>
        <w:rPr>
          <w:rFonts w:cs="Arial"/>
          <w:lang w:eastAsia="en-GB"/>
        </w:rPr>
        <w:t>contribute to wider</w:t>
      </w:r>
      <w:r w:rsidR="00B95051">
        <w:rPr>
          <w:rFonts w:cs="Arial"/>
          <w:lang w:eastAsia="en-GB"/>
        </w:rPr>
        <w:t xml:space="preserve"> corporate objectives such as employment and training, building stronger communities and area and estate regeneration.</w:t>
      </w:r>
    </w:p>
    <w:p w:rsidR="0045153D" w:rsidRPr="00ED69E5" w:rsidRDefault="0045153D" w:rsidP="00424453">
      <w:pPr>
        <w:pStyle w:val="ListParagraph"/>
        <w:ind w:left="360" w:firstLine="60"/>
        <w:rPr>
          <w:rFonts w:cs="Arial"/>
          <w:lang w:eastAsia="en-GB"/>
        </w:rPr>
      </w:pPr>
    </w:p>
    <w:p w:rsidR="0045153D" w:rsidRPr="0035186B" w:rsidRDefault="00B5273C" w:rsidP="00424453">
      <w:pPr>
        <w:pStyle w:val="ListParagraph"/>
        <w:numPr>
          <w:ilvl w:val="0"/>
          <w:numId w:val="2"/>
        </w:numPr>
        <w:ind w:left="360"/>
      </w:pPr>
      <w:r>
        <w:t xml:space="preserve">One of the </w:t>
      </w:r>
      <w:r w:rsidR="0045153D" w:rsidRPr="00ED69E5">
        <w:t xml:space="preserve">asset management </w:t>
      </w:r>
      <w:r w:rsidR="0045153D" w:rsidRPr="0035186B">
        <w:t xml:space="preserve">objectives </w:t>
      </w:r>
      <w:r>
        <w:t>is to</w:t>
      </w:r>
      <w:r w:rsidR="00B95051">
        <w:t xml:space="preserve"> raise the standards of our housing stock with the adoption and delivery of</w:t>
      </w:r>
      <w:r>
        <w:t xml:space="preserve"> a</w:t>
      </w:r>
      <w:r w:rsidR="0045153D" w:rsidRPr="0035186B">
        <w:t xml:space="preserve">n </w:t>
      </w:r>
      <w:r w:rsidR="0045153D" w:rsidRPr="0035186B">
        <w:rPr>
          <w:i/>
        </w:rPr>
        <w:t>Oxford Standard</w:t>
      </w:r>
      <w:r w:rsidR="0045153D" w:rsidRPr="0035186B">
        <w:t xml:space="preserve"> </w:t>
      </w:r>
      <w:r w:rsidR="00B95051">
        <w:t xml:space="preserve">which is a higher </w:t>
      </w:r>
      <w:r w:rsidR="00332362">
        <w:t xml:space="preserve">than </w:t>
      </w:r>
      <w:r w:rsidR="004B19B0">
        <w:t>the ‘Decent</w:t>
      </w:r>
      <w:r w:rsidR="00B95051">
        <w:t xml:space="preserve"> Homes standard </w:t>
      </w:r>
      <w:r w:rsidR="004B19B0">
        <w:t>‘which</w:t>
      </w:r>
      <w:r w:rsidR="00B95051">
        <w:t xml:space="preserve"> will </w:t>
      </w:r>
      <w:r w:rsidR="0045153D" w:rsidRPr="0035186B">
        <w:t>mean we retain decent homes complianc</w:t>
      </w:r>
      <w:r w:rsidR="00B02823">
        <w:t>e</w:t>
      </w:r>
      <w:r w:rsidR="00B95051">
        <w:t xml:space="preserve"> </w:t>
      </w:r>
      <w:r w:rsidR="004B19B0">
        <w:t>(a</w:t>
      </w:r>
      <w:r w:rsidR="00B95051">
        <w:t xml:space="preserve"> statutory requirement)</w:t>
      </w:r>
      <w:r w:rsidR="0045153D" w:rsidRPr="0035186B">
        <w:t>,</w:t>
      </w:r>
      <w:r w:rsidR="00B95051">
        <w:t xml:space="preserve"> and also</w:t>
      </w:r>
      <w:r w:rsidR="0045153D" w:rsidRPr="0035186B">
        <w:t xml:space="preserve"> achieve affordable warmth</w:t>
      </w:r>
      <w:r w:rsidR="00B95051">
        <w:t xml:space="preserve"> and other</w:t>
      </w:r>
      <w:r w:rsidR="004F4879">
        <w:t xml:space="preserve"> increased standards relating to the </w:t>
      </w:r>
      <w:r w:rsidR="004B19B0">
        <w:t>key physical</w:t>
      </w:r>
      <w:r w:rsidR="004F4879">
        <w:t xml:space="preserve"> elements of what makes a </w:t>
      </w:r>
      <w:r w:rsidR="00B02823">
        <w:t xml:space="preserve">property a </w:t>
      </w:r>
      <w:r w:rsidR="004F4879">
        <w:t>great place to live.</w:t>
      </w:r>
      <w:r w:rsidR="004B19B0">
        <w:t xml:space="preserve">  The Oxford Standard was drawn up with a scrutiny panel of </w:t>
      </w:r>
      <w:r w:rsidR="00DF0139">
        <w:t>m</w:t>
      </w:r>
      <w:r w:rsidR="004B19B0">
        <w:t xml:space="preserve">embers and </w:t>
      </w:r>
      <w:r w:rsidR="00DF0139">
        <w:t>t</w:t>
      </w:r>
      <w:r w:rsidR="004B19B0">
        <w:t>enants and the resultant report approved by CEB</w:t>
      </w:r>
      <w:r w:rsidR="00951A95">
        <w:t>.</w:t>
      </w:r>
      <w:r w:rsidR="00DF0139">
        <w:t xml:space="preserve"> </w:t>
      </w:r>
      <w:r w:rsidR="00951A95">
        <w:t xml:space="preserve">Details of the standard are included at </w:t>
      </w:r>
      <w:r w:rsidR="003B73DE">
        <w:t xml:space="preserve">Appendix </w:t>
      </w:r>
      <w:r w:rsidR="00951A95">
        <w:t>4.</w:t>
      </w:r>
      <w:r w:rsidR="004B19B0">
        <w:t xml:space="preserve"> </w:t>
      </w:r>
    </w:p>
    <w:p w:rsidR="0045153D" w:rsidRPr="0035186B" w:rsidRDefault="0045153D"/>
    <w:p w:rsidR="00EB5A1F" w:rsidRDefault="00ED69E5" w:rsidP="00424453">
      <w:pPr>
        <w:numPr>
          <w:ilvl w:val="0"/>
          <w:numId w:val="2"/>
        </w:numPr>
        <w:ind w:left="360"/>
      </w:pPr>
      <w:r>
        <w:t>A key aspect of the strategy is to reflect local needs</w:t>
      </w:r>
      <w:r w:rsidR="001859C7">
        <w:t>,</w:t>
      </w:r>
      <w:r>
        <w:t xml:space="preserve"> and consultation was undertaken as part of the development of the strategy to identify local priorities.  From the information received affordable warmth and external environment have been identified as specific priorities</w:t>
      </w:r>
      <w:r w:rsidR="001859C7">
        <w:t xml:space="preserve"> </w:t>
      </w:r>
      <w:r w:rsidR="0035186B">
        <w:t xml:space="preserve">by tenants.  A scrutiny panel consisting of tenants and members oversaw </w:t>
      </w:r>
      <w:r w:rsidR="00434F2E">
        <w:t>a</w:t>
      </w:r>
      <w:r w:rsidR="0035186B">
        <w:t xml:space="preserve"> tenant consultation and the development of the “Oxford Standard”.  </w:t>
      </w:r>
    </w:p>
    <w:p w:rsidR="009713AA" w:rsidRDefault="009713AA"/>
    <w:p w:rsidR="004F4879" w:rsidRDefault="004F4879" w:rsidP="00424453">
      <w:pPr>
        <w:pStyle w:val="ListParagraph"/>
        <w:numPr>
          <w:ilvl w:val="0"/>
          <w:numId w:val="2"/>
        </w:numPr>
        <w:ind w:left="360"/>
        <w:rPr>
          <w:rFonts w:cs="Arial"/>
          <w:lang w:eastAsia="en-GB"/>
        </w:rPr>
      </w:pPr>
      <w:r>
        <w:rPr>
          <w:rFonts w:cs="Arial"/>
          <w:lang w:eastAsia="en-GB"/>
        </w:rPr>
        <w:t>The proposed</w:t>
      </w:r>
      <w:r w:rsidRPr="00ED69E5">
        <w:rPr>
          <w:rFonts w:cs="Arial"/>
          <w:lang w:eastAsia="en-GB"/>
        </w:rPr>
        <w:t xml:space="preserve"> Asset Management Strategy (AMS) covers a period of ten years, with a specific four year</w:t>
      </w:r>
      <w:r w:rsidRPr="009C1DEA">
        <w:rPr>
          <w:rFonts w:cs="Arial"/>
          <w:lang w:eastAsia="en-GB"/>
        </w:rPr>
        <w:t xml:space="preserve"> </w:t>
      </w:r>
      <w:r w:rsidR="00F940C1">
        <w:rPr>
          <w:rFonts w:cs="Arial"/>
          <w:lang w:eastAsia="en-GB"/>
        </w:rPr>
        <w:t xml:space="preserve">rolling </w:t>
      </w:r>
      <w:r w:rsidRPr="00ED69E5">
        <w:rPr>
          <w:rFonts w:cs="Arial"/>
          <w:lang w:eastAsia="en-GB"/>
        </w:rPr>
        <w:t>action plan.</w:t>
      </w:r>
    </w:p>
    <w:p w:rsidR="004F4879" w:rsidRPr="004F4879" w:rsidRDefault="004F4879" w:rsidP="00424453">
      <w:pPr>
        <w:rPr>
          <w:rFonts w:cs="Arial"/>
          <w:lang w:eastAsia="en-GB"/>
        </w:rPr>
      </w:pPr>
    </w:p>
    <w:p w:rsidR="004F4879" w:rsidRDefault="004F4879" w:rsidP="00424453">
      <w:pPr>
        <w:numPr>
          <w:ilvl w:val="0"/>
          <w:numId w:val="2"/>
        </w:numPr>
        <w:ind w:left="360"/>
        <w:jc w:val="both"/>
      </w:pPr>
      <w:r>
        <w:t>The development of the investment programmes will be undertaken as part of our Housing Revenue Account business planning process and this has been included in our budget planning</w:t>
      </w:r>
      <w:r w:rsidR="00951A95">
        <w:t xml:space="preserve">. The Council’s agreed </w:t>
      </w:r>
      <w:r w:rsidR="001648B8">
        <w:t>medium term</w:t>
      </w:r>
      <w:r w:rsidR="00951A95">
        <w:t xml:space="preserve"> financial plan includes an ambitious programme to deliver new Council homes, estate regeneration and significant investment to improve the standard of existing housing stock.</w:t>
      </w:r>
      <w:r>
        <w:t xml:space="preserve"> </w:t>
      </w:r>
      <w:r w:rsidR="00675B76">
        <w:t xml:space="preserve"> </w:t>
      </w:r>
    </w:p>
    <w:p w:rsidR="007911B3" w:rsidRDefault="007911B3" w:rsidP="00424453">
      <w:pPr>
        <w:ind w:left="360"/>
        <w:jc w:val="both"/>
      </w:pPr>
    </w:p>
    <w:p w:rsidR="009214B0" w:rsidRDefault="009214B0" w:rsidP="00424453">
      <w:pPr>
        <w:pStyle w:val="ListParagraph"/>
        <w:numPr>
          <w:ilvl w:val="0"/>
          <w:numId w:val="2"/>
        </w:numPr>
        <w:ind w:left="360"/>
        <w:jc w:val="both"/>
      </w:pPr>
      <w:r>
        <w:t xml:space="preserve">The full strategy document is included in </w:t>
      </w:r>
      <w:r w:rsidR="00B72C19">
        <w:t xml:space="preserve">Appendix </w:t>
      </w:r>
      <w:r>
        <w:t>1</w:t>
      </w:r>
      <w:r w:rsidR="00B02823">
        <w:t>.</w:t>
      </w:r>
    </w:p>
    <w:p w:rsidR="00B72C19" w:rsidRDefault="00B72C19">
      <w:pPr>
        <w:jc w:val="both"/>
        <w:rPr>
          <w:b/>
        </w:rPr>
      </w:pPr>
    </w:p>
    <w:p w:rsidR="00B4351B" w:rsidRDefault="00B4351B">
      <w:pPr>
        <w:jc w:val="both"/>
        <w:rPr>
          <w:b/>
        </w:rPr>
      </w:pPr>
    </w:p>
    <w:p w:rsidR="007911B3" w:rsidRPr="00424453" w:rsidRDefault="007911B3">
      <w:pPr>
        <w:jc w:val="both"/>
        <w:rPr>
          <w:b/>
        </w:rPr>
      </w:pPr>
      <w:r w:rsidRPr="00424453">
        <w:rPr>
          <w:b/>
        </w:rPr>
        <w:t>Consultation</w:t>
      </w:r>
    </w:p>
    <w:p w:rsidR="004B19B0" w:rsidRDefault="004B19B0" w:rsidP="00424453">
      <w:pPr>
        <w:pStyle w:val="ListParagraph"/>
        <w:ind w:left="360"/>
      </w:pPr>
    </w:p>
    <w:p w:rsidR="00EB5A1F" w:rsidRDefault="007911B3" w:rsidP="00424453">
      <w:pPr>
        <w:pStyle w:val="ListParagraph"/>
        <w:numPr>
          <w:ilvl w:val="0"/>
          <w:numId w:val="2"/>
        </w:numPr>
        <w:ind w:left="360"/>
        <w:jc w:val="both"/>
      </w:pPr>
      <w:r>
        <w:t xml:space="preserve">The Oxford Standard was developed in conjunction with a scrutiny panel of members and tenants.  The scrutiny panel report outlining the recommendations of the panel was considered by CEB last year.  As a </w:t>
      </w:r>
      <w:r>
        <w:lastRenderedPageBreak/>
        <w:t xml:space="preserve">result a number of recommendations of the panel are now incorporated in the </w:t>
      </w:r>
      <w:r w:rsidR="00951A95">
        <w:t xml:space="preserve">proposed </w:t>
      </w:r>
      <w:r>
        <w:t>Oxford Standard</w:t>
      </w:r>
      <w:r w:rsidR="00951A95">
        <w:t>.</w:t>
      </w:r>
    </w:p>
    <w:p w:rsidR="007911B3" w:rsidRDefault="007911B3" w:rsidP="00424453">
      <w:pPr>
        <w:jc w:val="both"/>
      </w:pPr>
    </w:p>
    <w:p w:rsidR="007E7AB9" w:rsidRDefault="007911B3" w:rsidP="00424453">
      <w:pPr>
        <w:pStyle w:val="ListParagraph"/>
        <w:numPr>
          <w:ilvl w:val="0"/>
          <w:numId w:val="2"/>
        </w:numPr>
        <w:ind w:left="360"/>
        <w:jc w:val="both"/>
      </w:pPr>
      <w:r w:rsidRPr="009214B0">
        <w:t xml:space="preserve">In addition formal consultation took place </w:t>
      </w:r>
      <w:r w:rsidR="009214B0" w:rsidRPr="009214B0">
        <w:t xml:space="preserve">between the 2 March and 13 April 2015.  The results and outcomes are included in </w:t>
      </w:r>
      <w:r w:rsidR="003B73DE">
        <w:t>A</w:t>
      </w:r>
      <w:r w:rsidR="003B73DE" w:rsidRPr="009214B0">
        <w:t xml:space="preserve">ppendix </w:t>
      </w:r>
      <w:r w:rsidR="009214B0" w:rsidRPr="009214B0">
        <w:t>5</w:t>
      </w:r>
      <w:r w:rsidR="00B02823">
        <w:t xml:space="preserve">. </w:t>
      </w:r>
    </w:p>
    <w:p w:rsidR="007E7AB9" w:rsidRDefault="007E7AB9" w:rsidP="00424453">
      <w:pPr>
        <w:jc w:val="both"/>
      </w:pPr>
    </w:p>
    <w:p w:rsidR="007911B3" w:rsidRPr="009214B0" w:rsidRDefault="007E7AB9" w:rsidP="00424453">
      <w:pPr>
        <w:pStyle w:val="ListParagraph"/>
        <w:numPr>
          <w:ilvl w:val="0"/>
          <w:numId w:val="2"/>
        </w:numPr>
        <w:ind w:left="360"/>
        <w:jc w:val="both"/>
      </w:pPr>
      <w:r>
        <w:t xml:space="preserve">The only change as a result of the consultation is to change the term Neighbourhood Plan to Estate Improvement plan to avoid confusion with town planning terminology. </w:t>
      </w:r>
    </w:p>
    <w:p w:rsidR="004B19B0" w:rsidRDefault="004B19B0" w:rsidP="00424453">
      <w:pPr>
        <w:jc w:val="both"/>
      </w:pPr>
    </w:p>
    <w:p w:rsidR="007B6E54" w:rsidRPr="00424453" w:rsidRDefault="007B6E54">
      <w:pPr>
        <w:rPr>
          <w:rFonts w:cs="Arial"/>
          <w:b/>
        </w:rPr>
      </w:pPr>
      <w:r w:rsidRPr="00424453">
        <w:rPr>
          <w:rFonts w:cs="Arial"/>
          <w:b/>
        </w:rPr>
        <w:t>Legal Issues</w:t>
      </w:r>
    </w:p>
    <w:p w:rsidR="00EB5A1F" w:rsidRDefault="00EB5A1F">
      <w:pPr>
        <w:rPr>
          <w:rFonts w:cs="Arial"/>
          <w:b/>
        </w:rPr>
      </w:pPr>
    </w:p>
    <w:p w:rsidR="00EB5A1F" w:rsidRPr="00424453" w:rsidRDefault="00EB5A1F" w:rsidP="00424453">
      <w:pPr>
        <w:pStyle w:val="ListParagraph"/>
        <w:numPr>
          <w:ilvl w:val="0"/>
          <w:numId w:val="2"/>
        </w:numPr>
        <w:ind w:left="360"/>
        <w:rPr>
          <w:rFonts w:cs="Arial"/>
        </w:rPr>
      </w:pPr>
      <w:r w:rsidRPr="00424453">
        <w:rPr>
          <w:rFonts w:cs="Arial"/>
        </w:rPr>
        <w:t xml:space="preserve">There is a regulatory requirement to maintain compliance with </w:t>
      </w:r>
      <w:r w:rsidR="00B02823" w:rsidRPr="00424453">
        <w:rPr>
          <w:rFonts w:cs="Arial"/>
        </w:rPr>
        <w:t xml:space="preserve">the </w:t>
      </w:r>
      <w:r w:rsidRPr="00424453">
        <w:rPr>
          <w:rFonts w:cs="Arial"/>
        </w:rPr>
        <w:t xml:space="preserve">Decent Homes Standard.  The proposed strategy </w:t>
      </w:r>
      <w:r w:rsidR="00B02823" w:rsidRPr="00424453">
        <w:rPr>
          <w:rFonts w:cs="Arial"/>
        </w:rPr>
        <w:t xml:space="preserve">seeks to </w:t>
      </w:r>
      <w:r w:rsidRPr="00424453">
        <w:rPr>
          <w:rFonts w:cs="Arial"/>
        </w:rPr>
        <w:t>ensure that this standard will continue to be met.</w:t>
      </w:r>
    </w:p>
    <w:p w:rsidR="007B6E54" w:rsidRDefault="007B6E54">
      <w:pPr>
        <w:rPr>
          <w:rFonts w:cs="Arial"/>
          <w:i/>
        </w:rPr>
      </w:pPr>
    </w:p>
    <w:p w:rsidR="007B6E54" w:rsidRPr="00424453" w:rsidRDefault="007B6E54">
      <w:pPr>
        <w:rPr>
          <w:rFonts w:cs="Arial"/>
          <w:b/>
        </w:rPr>
      </w:pPr>
      <w:r w:rsidRPr="00424453">
        <w:rPr>
          <w:rFonts w:cs="Arial"/>
          <w:b/>
        </w:rPr>
        <w:t>Financial Issues</w:t>
      </w:r>
    </w:p>
    <w:p w:rsidR="0035186B" w:rsidRPr="0035186B" w:rsidRDefault="0035186B">
      <w:pPr>
        <w:rPr>
          <w:rFonts w:cs="Arial"/>
        </w:rPr>
      </w:pPr>
    </w:p>
    <w:p w:rsidR="004D74F8" w:rsidRPr="00424453" w:rsidRDefault="0035186B" w:rsidP="00424453">
      <w:pPr>
        <w:pStyle w:val="ListParagraph"/>
        <w:numPr>
          <w:ilvl w:val="0"/>
          <w:numId w:val="2"/>
        </w:numPr>
        <w:ind w:left="360"/>
        <w:rPr>
          <w:rFonts w:cs="Arial"/>
        </w:rPr>
      </w:pPr>
      <w:r w:rsidRPr="00424453">
        <w:rPr>
          <w:rFonts w:cs="Arial"/>
        </w:rPr>
        <w:t xml:space="preserve">Additional </w:t>
      </w:r>
      <w:bookmarkStart w:id="0" w:name="_GoBack"/>
      <w:bookmarkEnd w:id="0"/>
      <w:proofErr w:type="gramStart"/>
      <w:r w:rsidRPr="00424453">
        <w:rPr>
          <w:rFonts w:cs="Arial"/>
        </w:rPr>
        <w:t xml:space="preserve">investment </w:t>
      </w:r>
      <w:r w:rsidR="00675B76" w:rsidRPr="00424453">
        <w:rPr>
          <w:rFonts w:cs="Arial"/>
        </w:rPr>
        <w:t>to support the delivery of the objectives of the strategy are</w:t>
      </w:r>
      <w:proofErr w:type="gramEnd"/>
      <w:r w:rsidR="00675B76" w:rsidRPr="00424453">
        <w:rPr>
          <w:rFonts w:cs="Arial"/>
        </w:rPr>
        <w:t xml:space="preserve"> contained within the HRA business plan which is part of the Council’s overall budget</w:t>
      </w:r>
      <w:r w:rsidR="00951A95" w:rsidRPr="00424453">
        <w:rPr>
          <w:rFonts w:cs="Arial"/>
        </w:rPr>
        <w:t>.</w:t>
      </w:r>
    </w:p>
    <w:p w:rsidR="007B6E54" w:rsidRDefault="007B6E54">
      <w:pPr>
        <w:rPr>
          <w:rFonts w:cs="Arial"/>
          <w:b/>
        </w:rPr>
      </w:pPr>
    </w:p>
    <w:p w:rsidR="007B6E54" w:rsidRPr="00424453" w:rsidRDefault="007B6E54">
      <w:pPr>
        <w:rPr>
          <w:rFonts w:cs="Arial"/>
          <w:b/>
        </w:rPr>
      </w:pPr>
      <w:r w:rsidRPr="00424453">
        <w:rPr>
          <w:rFonts w:cs="Arial"/>
          <w:b/>
        </w:rPr>
        <w:t>Environmental Impact</w:t>
      </w:r>
    </w:p>
    <w:p w:rsidR="00EB5A1F" w:rsidRPr="00EB5A1F" w:rsidRDefault="00EB5A1F">
      <w:pPr>
        <w:rPr>
          <w:rFonts w:cs="Arial"/>
        </w:rPr>
      </w:pPr>
    </w:p>
    <w:p w:rsidR="00EB5A1F" w:rsidRPr="00424453" w:rsidRDefault="004D74F8" w:rsidP="00424453">
      <w:pPr>
        <w:pStyle w:val="ListParagraph"/>
        <w:numPr>
          <w:ilvl w:val="0"/>
          <w:numId w:val="2"/>
        </w:numPr>
        <w:ind w:left="360"/>
        <w:rPr>
          <w:rFonts w:cs="Arial"/>
        </w:rPr>
      </w:pPr>
      <w:r w:rsidRPr="00424453">
        <w:rPr>
          <w:rFonts w:cs="Arial"/>
        </w:rPr>
        <w:t xml:space="preserve">Co-ordinated investment in estate improvements </w:t>
      </w:r>
      <w:r w:rsidR="00951A95" w:rsidRPr="00424453">
        <w:rPr>
          <w:rFonts w:cs="Arial"/>
        </w:rPr>
        <w:t>will</w:t>
      </w:r>
      <w:r w:rsidRPr="00424453">
        <w:rPr>
          <w:rFonts w:cs="Arial"/>
        </w:rPr>
        <w:t xml:space="preserve"> result in a more effective use of available resources taking into account resident requirements and priorities.</w:t>
      </w:r>
      <w:r w:rsidR="00DF0139" w:rsidRPr="00424453">
        <w:rPr>
          <w:rFonts w:cs="Arial"/>
        </w:rPr>
        <w:t xml:space="preserve"> Increased investment in energy efficiency measures will have a positive environmental impact.</w:t>
      </w:r>
    </w:p>
    <w:p w:rsidR="004D74F8" w:rsidRPr="004D74F8" w:rsidRDefault="004D74F8" w:rsidP="00424453">
      <w:pPr>
        <w:rPr>
          <w:rFonts w:cs="Arial"/>
        </w:rPr>
      </w:pPr>
    </w:p>
    <w:p w:rsidR="004D74F8" w:rsidRPr="00424453" w:rsidRDefault="004D74F8" w:rsidP="00424453">
      <w:pPr>
        <w:pStyle w:val="ListParagraph"/>
        <w:numPr>
          <w:ilvl w:val="0"/>
          <w:numId w:val="2"/>
        </w:numPr>
        <w:ind w:left="360"/>
        <w:rPr>
          <w:rFonts w:cs="Arial"/>
        </w:rPr>
      </w:pPr>
      <w:r w:rsidRPr="00424453">
        <w:rPr>
          <w:rFonts w:cs="Arial"/>
        </w:rPr>
        <w:t>Where appropriate investment in the estate environment will be co-ordinated with regeneration activity of the Council.</w:t>
      </w:r>
    </w:p>
    <w:p w:rsidR="007B6E54" w:rsidRPr="00EB5A1F" w:rsidRDefault="007B6E54">
      <w:pPr>
        <w:rPr>
          <w:rFonts w:cs="Arial"/>
        </w:rPr>
      </w:pPr>
    </w:p>
    <w:p w:rsidR="00DD6C7E" w:rsidRPr="00424453" w:rsidRDefault="007B6E54" w:rsidP="00424453">
      <w:pPr>
        <w:rPr>
          <w:rFonts w:cs="Arial"/>
          <w:b/>
        </w:rPr>
      </w:pPr>
      <w:r w:rsidRPr="00424453">
        <w:rPr>
          <w:rFonts w:cs="Arial"/>
          <w:b/>
        </w:rPr>
        <w:t xml:space="preserve">Level of Risk </w:t>
      </w:r>
    </w:p>
    <w:p w:rsidR="00DD6C7E" w:rsidRDefault="00DD6C7E">
      <w:pPr>
        <w:rPr>
          <w:rFonts w:cs="Arial"/>
          <w:b/>
        </w:rPr>
      </w:pPr>
    </w:p>
    <w:p w:rsidR="007B6E54" w:rsidRPr="00424453" w:rsidRDefault="00DD6C7E" w:rsidP="00424453">
      <w:pPr>
        <w:pStyle w:val="ListParagraph"/>
        <w:numPr>
          <w:ilvl w:val="0"/>
          <w:numId w:val="2"/>
        </w:numPr>
        <w:ind w:left="360"/>
        <w:rPr>
          <w:rFonts w:cs="Arial"/>
        </w:rPr>
      </w:pPr>
      <w:r w:rsidRPr="00424453">
        <w:rPr>
          <w:rFonts w:cs="Arial"/>
        </w:rPr>
        <w:t xml:space="preserve">The </w:t>
      </w:r>
      <w:r w:rsidR="007B6E54" w:rsidRPr="00424453">
        <w:rPr>
          <w:rFonts w:cs="Arial"/>
        </w:rPr>
        <w:t xml:space="preserve">risk register </w:t>
      </w:r>
      <w:r w:rsidRPr="00424453">
        <w:rPr>
          <w:rFonts w:cs="Arial"/>
        </w:rPr>
        <w:t xml:space="preserve">is included in </w:t>
      </w:r>
      <w:r w:rsidR="00B72C19" w:rsidRPr="00424453">
        <w:rPr>
          <w:rFonts w:cs="Arial"/>
        </w:rPr>
        <w:t xml:space="preserve">Appendix </w:t>
      </w:r>
      <w:r w:rsidRPr="00424453">
        <w:rPr>
          <w:rFonts w:cs="Arial"/>
        </w:rPr>
        <w:t>2</w:t>
      </w:r>
    </w:p>
    <w:p w:rsidR="00DD6C7E" w:rsidRPr="00DD6C7E" w:rsidRDefault="00DD6C7E" w:rsidP="00424453">
      <w:pPr>
        <w:pStyle w:val="ListParagraph"/>
        <w:ind w:left="360"/>
        <w:rPr>
          <w:rFonts w:cs="Arial"/>
          <w:b/>
        </w:rPr>
      </w:pPr>
    </w:p>
    <w:p w:rsidR="004D74F8" w:rsidRPr="00424453" w:rsidRDefault="007B6E54">
      <w:pPr>
        <w:rPr>
          <w:rFonts w:cs="Arial"/>
          <w:b/>
        </w:rPr>
      </w:pPr>
      <w:r w:rsidRPr="00424453">
        <w:rPr>
          <w:rFonts w:cs="Arial"/>
          <w:b/>
        </w:rPr>
        <w:t>Equalities Impact</w:t>
      </w:r>
    </w:p>
    <w:p w:rsidR="004D74F8" w:rsidRPr="004D74F8" w:rsidRDefault="004D74F8">
      <w:pPr>
        <w:rPr>
          <w:rFonts w:cs="Arial"/>
        </w:rPr>
      </w:pPr>
    </w:p>
    <w:p w:rsidR="007B6E54" w:rsidRPr="00424453" w:rsidRDefault="004D74F8" w:rsidP="00424453">
      <w:pPr>
        <w:pStyle w:val="ListParagraph"/>
        <w:numPr>
          <w:ilvl w:val="0"/>
          <w:numId w:val="2"/>
        </w:numPr>
        <w:ind w:left="360"/>
        <w:rPr>
          <w:rFonts w:cs="Arial"/>
        </w:rPr>
      </w:pPr>
      <w:r w:rsidRPr="00424453">
        <w:rPr>
          <w:rFonts w:cs="Arial"/>
        </w:rPr>
        <w:t xml:space="preserve">An </w:t>
      </w:r>
      <w:r w:rsidR="007B6E54" w:rsidRPr="00424453">
        <w:rPr>
          <w:rFonts w:cs="Arial"/>
        </w:rPr>
        <w:t xml:space="preserve">initial equality impact assessment </w:t>
      </w:r>
      <w:r w:rsidRPr="00424453">
        <w:rPr>
          <w:rFonts w:cs="Arial"/>
        </w:rPr>
        <w:t xml:space="preserve">is included in </w:t>
      </w:r>
      <w:r w:rsidR="00B72C19" w:rsidRPr="00424453">
        <w:rPr>
          <w:rFonts w:cs="Arial"/>
        </w:rPr>
        <w:t xml:space="preserve">Appendix </w:t>
      </w:r>
      <w:r w:rsidRPr="00424453">
        <w:rPr>
          <w:rFonts w:cs="Arial"/>
        </w:rPr>
        <w:t>3</w:t>
      </w:r>
    </w:p>
    <w:p w:rsidR="00F4367A" w:rsidRDefault="00F4367A">
      <w:pPr>
        <w:rPr>
          <w:rFonts w:cs="Arial"/>
          <w:i/>
        </w:rPr>
      </w:pPr>
    </w:p>
    <w:p w:rsidR="003B73DE" w:rsidRDefault="003B73DE">
      <w:pPr>
        <w:rPr>
          <w:rFonts w:cs="Arial"/>
          <w: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82102" w:rsidP="00855C66">
            <w:pPr>
              <w:tabs>
                <w:tab w:val="left" w:pos="720"/>
                <w:tab w:val="left" w:pos="1440"/>
                <w:tab w:val="left" w:pos="2160"/>
                <w:tab w:val="left" w:pos="2880"/>
              </w:tabs>
            </w:pPr>
            <w:r>
              <w:t>Martin Shaw</w:t>
            </w:r>
          </w:p>
        </w:tc>
      </w:tr>
      <w:tr w:rsidR="00713675">
        <w:tc>
          <w:tcPr>
            <w:tcW w:w="8522" w:type="dxa"/>
          </w:tcPr>
          <w:p w:rsidR="00713675" w:rsidRDefault="00782102" w:rsidP="00855C66">
            <w:pPr>
              <w:tabs>
                <w:tab w:val="left" w:pos="720"/>
                <w:tab w:val="left" w:pos="1440"/>
                <w:tab w:val="left" w:pos="2160"/>
                <w:tab w:val="left" w:pos="2880"/>
              </w:tabs>
            </w:pPr>
            <w:r>
              <w:t>Interim Property Services Manager</w:t>
            </w:r>
          </w:p>
        </w:tc>
      </w:tr>
      <w:tr w:rsidR="00713675">
        <w:tc>
          <w:tcPr>
            <w:tcW w:w="8522" w:type="dxa"/>
          </w:tcPr>
          <w:p w:rsidR="00713675" w:rsidRDefault="00782102" w:rsidP="00782102">
            <w:pPr>
              <w:tabs>
                <w:tab w:val="left" w:pos="720"/>
                <w:tab w:val="left" w:pos="1440"/>
                <w:tab w:val="left" w:pos="2160"/>
                <w:tab w:val="left" w:pos="2880"/>
              </w:tabs>
            </w:pPr>
            <w:r>
              <w:t>Housing and Property Services</w:t>
            </w:r>
          </w:p>
        </w:tc>
      </w:tr>
      <w:tr w:rsidR="00713675">
        <w:tc>
          <w:tcPr>
            <w:tcW w:w="8522" w:type="dxa"/>
          </w:tcPr>
          <w:p w:rsidR="00713675" w:rsidRDefault="00D62D1E" w:rsidP="00CF13B2">
            <w:pPr>
              <w:tabs>
                <w:tab w:val="left" w:pos="720"/>
                <w:tab w:val="left" w:pos="1440"/>
                <w:tab w:val="left" w:pos="2160"/>
                <w:tab w:val="left" w:pos="2880"/>
              </w:tabs>
              <w:rPr>
                <w:color w:val="0000FF"/>
                <w:u w:val="single"/>
              </w:rPr>
            </w:pPr>
            <w:r>
              <w:t>Tel:  01865 252775</w:t>
            </w:r>
            <w:r w:rsidR="00713675">
              <w:t xml:space="preserve">  e</w:t>
            </w:r>
            <w:r w:rsidR="00CF13B2">
              <w:t>mail: mshaw2@oxford.gov.uk</w:t>
            </w:r>
            <w:r w:rsidR="00B4351B">
              <w:t xml:space="preserve">                                                                                                                           </w:t>
            </w:r>
          </w:p>
        </w:tc>
      </w:tr>
    </w:tbl>
    <w:p w:rsidR="00F4367A" w:rsidRDefault="00F4367A" w:rsidP="00B4351B">
      <w:pPr>
        <w:rPr>
          <w:rFonts w:cs="Arial"/>
          <w:b/>
          <w:bCs/>
          <w:sz w:val="20"/>
        </w:rPr>
      </w:pPr>
    </w:p>
    <w:sectPr w:rsidR="00F4367A" w:rsidSect="00B4351B">
      <w:pgSz w:w="11906" w:h="16838"/>
      <w:pgMar w:top="1440" w:right="1800" w:bottom="1135"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22" w:rsidRDefault="005A7722">
      <w:r>
        <w:separator/>
      </w:r>
    </w:p>
  </w:endnote>
  <w:endnote w:type="continuationSeparator" w:id="0">
    <w:p w:rsidR="005A7722" w:rsidRDefault="005A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22" w:rsidRDefault="005A7722">
      <w:r>
        <w:separator/>
      </w:r>
    </w:p>
  </w:footnote>
  <w:footnote w:type="continuationSeparator" w:id="0">
    <w:p w:rsidR="005A7722" w:rsidRDefault="005A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CEB"/>
    <w:multiLevelType w:val="hybridMultilevel"/>
    <w:tmpl w:val="1280F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564570"/>
    <w:multiLevelType w:val="hybridMultilevel"/>
    <w:tmpl w:val="CECCE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9467D"/>
    <w:multiLevelType w:val="hybridMultilevel"/>
    <w:tmpl w:val="890400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7866CA"/>
    <w:multiLevelType w:val="hybridMultilevel"/>
    <w:tmpl w:val="8E922136"/>
    <w:lvl w:ilvl="0" w:tplc="E01C58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E92793"/>
    <w:multiLevelType w:val="hybridMultilevel"/>
    <w:tmpl w:val="66CE8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1F59BF"/>
    <w:multiLevelType w:val="multilevel"/>
    <w:tmpl w:val="66B6CF0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3E12C51"/>
    <w:multiLevelType w:val="hybridMultilevel"/>
    <w:tmpl w:val="685AE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B946E5"/>
    <w:multiLevelType w:val="hybridMultilevel"/>
    <w:tmpl w:val="BA8E4CA8"/>
    <w:lvl w:ilvl="0" w:tplc="03DA24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D1871A4"/>
    <w:multiLevelType w:val="hybridMultilevel"/>
    <w:tmpl w:val="25D4A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8C6A69"/>
    <w:multiLevelType w:val="hybridMultilevel"/>
    <w:tmpl w:val="FAB6D73A"/>
    <w:lvl w:ilvl="0" w:tplc="34787160">
      <w:start w:val="1"/>
      <w:numFmt w:val="bullet"/>
      <w:lvlRestart w:val="0"/>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883FF7"/>
    <w:multiLevelType w:val="hybridMultilevel"/>
    <w:tmpl w:val="7550206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EEE56C5"/>
    <w:multiLevelType w:val="hybridMultilevel"/>
    <w:tmpl w:val="A978DA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10"/>
  </w:num>
  <w:num w:numId="4">
    <w:abstractNumId w:val="7"/>
  </w:num>
  <w:num w:numId="5">
    <w:abstractNumId w:val="2"/>
  </w:num>
  <w:num w:numId="6">
    <w:abstractNumId w:val="0"/>
  </w:num>
  <w:num w:numId="7">
    <w:abstractNumId w:val="1"/>
  </w:num>
  <w:num w:numId="8">
    <w:abstractNumId w:val="3"/>
  </w:num>
  <w:num w:numId="9">
    <w:abstractNumId w:val="9"/>
  </w:num>
  <w:num w:numId="10">
    <w:abstractNumId w:val="8"/>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716BA"/>
    <w:rsid w:val="000C3928"/>
    <w:rsid w:val="000D4EC8"/>
    <w:rsid w:val="00134814"/>
    <w:rsid w:val="001648B8"/>
    <w:rsid w:val="00175E33"/>
    <w:rsid w:val="001859C7"/>
    <w:rsid w:val="00332362"/>
    <w:rsid w:val="0035186B"/>
    <w:rsid w:val="003B6E3A"/>
    <w:rsid w:val="003B73DE"/>
    <w:rsid w:val="00424453"/>
    <w:rsid w:val="00434F2E"/>
    <w:rsid w:val="0045153D"/>
    <w:rsid w:val="00465EAF"/>
    <w:rsid w:val="004703B7"/>
    <w:rsid w:val="004B19B0"/>
    <w:rsid w:val="004D74F8"/>
    <w:rsid w:val="004F4879"/>
    <w:rsid w:val="0052634D"/>
    <w:rsid w:val="005A7722"/>
    <w:rsid w:val="00623C2F"/>
    <w:rsid w:val="00675B76"/>
    <w:rsid w:val="006E3B55"/>
    <w:rsid w:val="006F416B"/>
    <w:rsid w:val="00713675"/>
    <w:rsid w:val="00782102"/>
    <w:rsid w:val="007911B3"/>
    <w:rsid w:val="007B6E54"/>
    <w:rsid w:val="007E7AB9"/>
    <w:rsid w:val="00810AA3"/>
    <w:rsid w:val="0083587A"/>
    <w:rsid w:val="00855C66"/>
    <w:rsid w:val="008D3DDB"/>
    <w:rsid w:val="009214B0"/>
    <w:rsid w:val="00951A95"/>
    <w:rsid w:val="009713AA"/>
    <w:rsid w:val="00971689"/>
    <w:rsid w:val="00973E90"/>
    <w:rsid w:val="00981904"/>
    <w:rsid w:val="009C1DEA"/>
    <w:rsid w:val="00A92D8F"/>
    <w:rsid w:val="00AD3292"/>
    <w:rsid w:val="00AE5AB8"/>
    <w:rsid w:val="00B02823"/>
    <w:rsid w:val="00B4351B"/>
    <w:rsid w:val="00B5273C"/>
    <w:rsid w:val="00B72C19"/>
    <w:rsid w:val="00B95051"/>
    <w:rsid w:val="00C173AB"/>
    <w:rsid w:val="00C2692F"/>
    <w:rsid w:val="00C71321"/>
    <w:rsid w:val="00CB7FD2"/>
    <w:rsid w:val="00CC3662"/>
    <w:rsid w:val="00CF13B2"/>
    <w:rsid w:val="00D62D1E"/>
    <w:rsid w:val="00DD6C7E"/>
    <w:rsid w:val="00DE3116"/>
    <w:rsid w:val="00DF0139"/>
    <w:rsid w:val="00E01F42"/>
    <w:rsid w:val="00EA0DB1"/>
    <w:rsid w:val="00EA2FDD"/>
    <w:rsid w:val="00EB5A1F"/>
    <w:rsid w:val="00ED567E"/>
    <w:rsid w:val="00ED69E5"/>
    <w:rsid w:val="00F4367A"/>
    <w:rsid w:val="00F7606D"/>
    <w:rsid w:val="00F940C1"/>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451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451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39C9-D820-4FCB-B3A9-C5B7DCFA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EEAE807F</Template>
  <TotalTime>13</TotalTime>
  <Pages>3</Pages>
  <Words>774</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andrew.brown2</cp:lastModifiedBy>
  <cp:revision>4</cp:revision>
  <cp:lastPrinted>2010-10-15T09:32:00Z</cp:lastPrinted>
  <dcterms:created xsi:type="dcterms:W3CDTF">2015-04-30T14:28:00Z</dcterms:created>
  <dcterms:modified xsi:type="dcterms:W3CDTF">2015-05-27T09:44:00Z</dcterms:modified>
</cp:coreProperties>
</file>